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line="240" w:lineRule="auto"/>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5 (Pricing Details)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line="240" w:lineRule="auto"/>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sz w:val="24"/>
          <w:szCs w:val="24"/>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Fixed Price Option</w:t>
      </w:r>
      <w:r w:rsidDel="00000000" w:rsidR="00000000" w:rsidRPr="00000000">
        <w:rPr>
          <w:b w:val="1"/>
          <w:sz w:val="24"/>
          <w:szCs w:val="24"/>
          <w:rtl w:val="0"/>
        </w:rPr>
        <w:t xml:space="preserve">[</w:t>
      </w:r>
      <w:r w:rsidDel="00000000" w:rsidR="00000000" w:rsidRPr="00000000">
        <w:rPr>
          <w:b w:val="1"/>
          <w:sz w:val="24"/>
          <w:szCs w:val="24"/>
          <w:highlight w:val="yellow"/>
          <w:rtl w:val="0"/>
        </w:rPr>
        <w:t xml:space="preserve">Guidance Note: </w:t>
      </w:r>
      <w:r w:rsidDel="00000000" w:rsidR="00000000" w:rsidRPr="00000000">
        <w:rPr>
          <w:sz w:val="24"/>
          <w:szCs w:val="24"/>
          <w:rtl w:val="0"/>
        </w:rPr>
        <w:t xml:space="preserve">This Schedule should be used to show the pricing details and methodologies selected by the Buyer and that Suppliers will be required to bid for, in addition to the high level information in the Order Form. The drafting below </w:t>
      </w:r>
      <w:r w:rsidDel="00000000" w:rsidR="00000000" w:rsidRPr="00000000">
        <w:rPr>
          <w:sz w:val="24"/>
          <w:szCs w:val="24"/>
          <w:u w:val="single"/>
          <w:rtl w:val="0"/>
        </w:rPr>
        <w:t xml:space="preserve">is for guidance only</w:t>
      </w:r>
      <w:r w:rsidDel="00000000" w:rsidR="00000000" w:rsidRPr="00000000">
        <w:rPr>
          <w:sz w:val="24"/>
          <w:szCs w:val="24"/>
          <w:rtl w:val="0"/>
        </w:rPr>
        <w:t xml:space="preserve">. The provisions will need to be tailored by Buyers to reflect their requirements.]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b w:val="1"/>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pay: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GBP [●] for each MWh of Contract Electricity; and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GBP [0.01] for each associated Environmental Attribute,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delivered by the Supplier to the Buyer in accordance with this Call-Off Contract during the Settlement Term. These Charges shall not be subject to Indexation.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will be the price bid by the Supplier for the applicable Facility or Facilities. The Environmental Attribute price is intended to be a nominal price set by the Buyer at Call-Off, though Buyers may change this based on market conditions at the time of the Further Competition Procedure for the Call-Off Contract.]</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Fixed Price Option with Annual Indexation</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pay: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 Electricity Price for each MWh of Contract Electricity; and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GBP [0.01] for each associated Environmental Attribute,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delivered by the Supplier to the Buyer in accordance with this Call-Off Contract during the Settlement Term.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Call-Off Contract, the following definitions apply: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Base Electricity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GBP [●];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will be the price bid by the Supplier for the applicable Facility or Facilities. The Environmental Attribute price is intended to be a nominal price set by the Buyer at Call-Off.  It is not envisaged to be subject to indexation, though Buyers may change the price and the application of indexation based on market conditions at the time of the Further Competition Procedure for the Call-Off Contract. This will require additional drafting.]</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Base Index Value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Contract Index on 31 December immediately preceding the Supply Commencement Date;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Index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price index selected by the Buyer in the Order Form;</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Current Index Value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Contract Index on 31 December of the Contract Year immediately preceding the Contract Year in which the calculation of the revised Electricity Price is carried out;</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Electricity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for the first Contract Year, the Base Electricity Price; and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40" w:right="0" w:hanging="7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for each subsequent Contract Year an amount determined as follows on the first Working Day of that Contract Year:</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Electricity Price multiplied by the Current Index Value) divided by the Base Index Value.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Buyers may want to cap indexation to a maximum percentage per Contract Year. This will require appropriate revisions.</w:t>
      </w:r>
      <w:r w:rsidDel="00000000" w:rsidR="00000000" w:rsidRPr="00000000">
        <w:rPr>
          <w:rFonts w:ascii="Arial" w:cs="Arial" w:eastAsia="Arial" w:hAnsi="Arial"/>
          <w:sz w:val="24"/>
          <w:szCs w:val="24"/>
          <w:rtl w:val="0"/>
        </w:rPr>
        <w:t xml:space="preserve"> Buyers may also want to use multiple indexes. This will require additional drafting.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Contract Index:</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1429"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the Buyer and the Supplier agree otherwise, provided that the timing for any such recalculation shall be subject to the limitations in Paragraph 11.4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Adjustments to Invoices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60" w:before="0" w:line="240" w:lineRule="auto"/>
        <w:ind w:left="1429"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the Buyer and the Supplier shall agree a fair and reasonable replacement that will have substantially the same effect.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Combination of Fixed Price and Fixed Price with Annual Indexation</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Buyers may want to allow for a price split (in a percentage determined by the Buyer) between a fixed price without indexation and an indexed price. This will require appropriate revisions.</w:t>
      </w:r>
      <w:r w:rsidDel="00000000" w:rsidR="00000000" w:rsidRPr="00000000">
        <w:rPr>
          <w:rFonts w:ascii="Arial" w:cs="Arial" w:eastAsia="Arial" w:hAnsi="Arial"/>
          <w:sz w:val="24"/>
          <w:szCs w:val="24"/>
          <w:rtl w:val="0"/>
        </w:rPr>
        <w:t xml:space="preserve"> Buyers may also want to use multiple indexes. This will require additional drafting.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sz w:val="24"/>
          <w:szCs w:val="24"/>
        </w:rPr>
      </w:pPr>
      <w:bookmarkStart w:colFirst="0" w:colLast="0" w:name="_b1o2z8aawe41" w:id="0"/>
      <w:bookmarkEnd w:id="0"/>
      <w:r w:rsidDel="00000000" w:rsidR="00000000" w:rsidRPr="00000000">
        <w:rPr>
          <w:rFonts w:ascii="Arial" w:cs="Arial" w:eastAsia="Arial" w:hAnsi="Arial"/>
          <w:b w:val="1"/>
          <w:smallCaps w:val="1"/>
          <w:color w:val="000000"/>
          <w:sz w:val="28"/>
          <w:szCs w:val="28"/>
          <w:rtl w:val="0"/>
        </w:rPr>
        <w:t xml:space="preserve">[A</w:t>
      </w:r>
      <w:r w:rsidDel="00000000" w:rsidR="00000000" w:rsidRPr="00000000">
        <w:rPr>
          <w:rFonts w:ascii="Arial" w:cs="Arial" w:eastAsia="Arial" w:hAnsi="Arial"/>
          <w:b w:val="1"/>
          <w:color w:val="000000"/>
          <w:sz w:val="28"/>
          <w:szCs w:val="28"/>
          <w:rtl w:val="0"/>
        </w:rPr>
        <w:t xml:space="preserve">nnex 1 – Form of Invoice]</w:t>
      </w:r>
      <w:r w:rsidDel="00000000" w:rsidR="00000000" w:rsidRPr="00000000">
        <w:rPr>
          <w:rtl w:val="0"/>
        </w:rPr>
      </w:r>
    </w:p>
    <w:p w:rsidR="00000000" w:rsidDel="00000000" w:rsidP="00000000" w:rsidRDefault="00000000" w:rsidRPr="00000000" w14:paraId="00000022">
      <w:pPr>
        <w:spacing w:after="20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Placeholder for the required form of invoice to be specified by the Buyer (with input as appropriate from its Sleeving Supplier).  This should be based on the specified price structure and set out how amounts should be calculated each month during the operational period – i.e. after the Actual COD.  This Annex is not intended for use for invoices issued by the Buyer (which will be in a form determined by the Buyer) for Delay Damages and Shortfall Damages prior to the Actual COD]</w:t>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RM6289 Provision of Power Purchase Agreement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2</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RM6289 Provision of Power Purchase Agreement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2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2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09" w:right="0" w:firstLine="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09"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18"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985"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52"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iManageFooter">
    <vt:lpwstr>#110614681v1&lt;L_LIVE_EMEA1&gt; - PPA v3.0 (Call-Off Schedule 05  - Pricing Details)</vt:lpwstr>
  </property>
</Properties>
</file>